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id="0" w:name="377026ad-1b08-49d8-82c8-2523f1c36cc2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0"/>
      <w:r>
        <w:rPr>
          <w:rFonts w:ascii="Times New Roman" w:hAnsi="Times New Roman"/>
          <w:b/>
          <w:i w:val="false"/>
          <w:color w:val="000000"/>
          <w:sz w:val="28"/>
        </w:rPr>
        <w:t xml:space="preserve">‌‌ 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id="1" w:name="70fb4e9c-7df0-4758-87dd-1275c8e6b3a6"/>
      <w:r>
        <w:rPr>
          <w:rFonts w:ascii="Times New Roman" w:hAnsi="Times New Roman"/>
          <w:b/>
          <w:i w:val="false"/>
          <w:color w:val="000000"/>
          <w:sz w:val="28"/>
        </w:rPr>
        <w:t>Отдел образования и воспитания Администрации Борисоглебского мукниципальногорайона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МОУ БСОШ №2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5"/>
        <w:gridCol w:w="3115"/>
        <w:gridCol w:w="3115"/>
      </w:tblGrid>
      <w:tr>
        <w:trPr/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Зимина Н.А.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приказ №206 от «01» сентября   2023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(ID 2409135)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«Алгебра и начала математического анализа. Углубленный уровень»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id="2" w:name="041d5c1b-4e36-4053-94f3-9ce12a6e5ba5"/>
      <w:r>
        <w:rPr>
          <w:rFonts w:ascii="Times New Roman" w:hAnsi="Times New Roman"/>
          <w:b/>
          <w:i w:val="false"/>
          <w:color w:val="000000"/>
          <w:sz w:val="28"/>
        </w:rPr>
        <w:t>пос Борисоглебский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id="3" w:name="34b057d3-b688-4a50-aec1-9ba08cc1dbee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ectPr>
          <w:type w:val="nextPage"/>
          <w:pgSz w:w="11906" w:h="16383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jc w:val="left"/>
        <w:rPr/>
      </w:pPr>
      <w:r>
        <w:rPr/>
      </w:r>
      <w:bookmarkStart w:id="4" w:name="block-179591341"/>
      <w:bookmarkStart w:id="5" w:name="block-17959134"/>
      <w:bookmarkStart w:id="6" w:name="block-179591341"/>
      <w:bookmarkStart w:id="7" w:name="block-17959134"/>
      <w:bookmarkEnd w:id="6"/>
      <w:bookmarkEnd w:id="7"/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основе методики обучения алгебре и началам математического анализа лежит деятельностный принцип обучения.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>
      <w:pPr>
        <w:sectPr>
          <w:type w:val="nextPage"/>
          <w:pgSz w:w="11906" w:h="16383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id="8" w:name="3d76e050-51fd-4b58-80c8-65c11753c1a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8"/>
      <w:r>
        <w:rPr>
          <w:rFonts w:ascii="Times New Roman" w:hAnsi="Times New Roman"/>
          <w:b w:val="false"/>
          <w:i w:val="false"/>
          <w:color w:val="000000"/>
          <w:sz w:val="28"/>
        </w:rPr>
        <w:t>‌‌</w:t>
      </w:r>
      <w:bookmarkStart w:id="9" w:name="block-179591321"/>
      <w:bookmarkStart w:id="10" w:name="block-17959132"/>
      <w:bookmarkEnd w:id="9"/>
      <w:bookmarkEnd w:id="10"/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Арифметический корень натуральной степени и его свойства.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рациональным показателем и её свойства, степень с действительным показателем.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Логарифм числа. Свойства логарифма. Десятичные и натуральные логарифмы.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Синус, косинус, тангенс, котангенс числового аргумента. Арксинус, арккосинус и арктангенс числового аргумента.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Преобразования числовых выражений, содержащих степени и корни.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Иррациональные уравнения. Основные методы решения иррациональных уравнений.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Показательные уравнения. Основные методы решения показательных уравнений.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выражений, содержащих логарифмы.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Логарифмические уравнения. Основные методы решения логарифмических уравнений.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Линейная, квадратичная и дробно-линейная функции. Элементарное исследование и построение их графиков.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n-ой степени как функции обратной степени с натуральным показателем.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Тригонометрическая окружность, определение тригонометрических функций числового аргумента.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Функциональные зависимости в реальных процессах и явлениях. Графики реальных зависимостей.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Производные элементарных функций. Производная суммы, произведения, частного и композиции функций.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НОК), остатков по модулю, алгоритма Евклида для решения задач в целых числах.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n-ой степени из комплексного числа. Применение комплексных чисел для решения физических и геометрических задач.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методы решения показательных и логарифмических неравенств.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методы решения иррациональных неравенств.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Уравнения, неравенства и системы с параметрами.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 композиции функций. Геометрические образы уравнений и неравенств на координатной плоскости.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Тригонометрические функции, их свойства и графики.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Графические методы решения уравнений и неравенств. Графические методы решения задач с параметрами.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Интеграл. Геометрический смысл интеграла. Вычисление определённого интеграла по формуле Ньютона-Лейбница.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интеграла для нахождения площадей плоских фигур и объёмов геометрических тел.</w:t>
      </w:r>
    </w:p>
    <w:p>
      <w:pPr>
        <w:sectPr>
          <w:type w:val="nextPage"/>
          <w:pgSz w:w="11906" w:h="16383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  <w:bookmarkStart w:id="11" w:name="block-179591311"/>
      <w:bookmarkStart w:id="12" w:name="block-17959131"/>
      <w:bookmarkEnd w:id="11"/>
      <w:bookmarkEnd w:id="12"/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8) ценности научного познания: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дроби и проценты для решения прикладных задач из различных отраслей знаний и реальной жизни;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приближённые вычисления, правила округления, прикидку и оценку результата вычислений;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арифметический корень натуральной степени;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степень с рациональным показателем;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логарифм числа, десятичные и натуральные логарифмы;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синус, косинус, тангенс, котангенс числового аргумента;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арксинус, арккосинус и арктангенс числового аргумента.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действий с корнями для преобразования выражений;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числовых выражений, содержащих степени с рациональным показателем;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логарифмов для преобразования логарифмических выражений;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основные тригонометрические формулы для преобразования тригонометрических выражений;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n-ой степени как функции обратной степени с натуральным показателем;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прогрессии для решения реальных задач прикладного характера;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непрерывные функции, точки разрыва графика функции, асимптоты графика функции;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первая и вторая производные функции, касательная к графику функции;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геометрический и физический смысл производной для решения задач.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множество, операции над множествами;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отбор корней при решении тригонометрического уравнения;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графические методы для решения уравнений и неравенств, а также задач с параметрами;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графики композиции функций с помощью элементарного исследования и свойств композиции двух функций;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геометрические образы уравнений и неравенств на координатной плоскости;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графики тригонометрических функций;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функции для моделирования и исследования реальных процессов.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исследования функции на монотонность и экстремумы;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наибольшее и наименьшее значения функции непрерывной на отрезке;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площади плоских фигур и объёмы тел с помощью интеграла;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математическом моделировании на примере составления дифференциальных уравнений;</w:t>
      </w:r>
    </w:p>
    <w:p>
      <w:pPr>
        <w:sectPr>
          <w:type w:val="nextPage"/>
          <w:pgSz w:w="11906" w:h="16383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  <w:bookmarkStart w:id="13" w:name="block-179591331"/>
      <w:bookmarkStart w:id="14" w:name="block-17959133"/>
      <w:bookmarkEnd w:id="13"/>
      <w:bookmarkEnd w:id="14"/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10 КЛАСС </w:t>
      </w:r>
    </w:p>
    <w:tbl>
      <w:tblPr>
        <w:tblW w:w="13594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1258"/>
        <w:gridCol w:w="3040"/>
        <w:gridCol w:w="2629"/>
        <w:gridCol w:w="6666"/>
      </w:tblGrid>
      <w:tr>
        <w:trPr>
          <w:trHeight w:val="144" w:hRule="atLeast"/>
        </w:trPr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6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25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30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666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24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и графики. Степенная функция с целым показателем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n-ой степени. Иррациональные уравнения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15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18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22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136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11 КЛАСС </w:t>
      </w:r>
    </w:p>
    <w:tbl>
      <w:tblPr>
        <w:tblW w:w="13594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637"/>
        <w:gridCol w:w="3040"/>
        <w:gridCol w:w="1356"/>
        <w:gridCol w:w="2382"/>
        <w:gridCol w:w="2509"/>
        <w:gridCol w:w="3669"/>
      </w:tblGrid>
      <w:tr>
        <w:trPr>
          <w:trHeight w:val="144" w:hRule="atLeast"/>
        </w:trPr>
        <w:tc>
          <w:tcPr>
            <w:tcW w:w="6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6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30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66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Исследование функций с помощью производной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22 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 и интеграл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 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14 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Иррациональные, показательные и логарифмические неравенства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24 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Комплексные числа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 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 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 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 с параметрами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16 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16 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136 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 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  <w:bookmarkStart w:id="15" w:name="block-17959130"/>
      <w:bookmarkStart w:id="16" w:name="block-17959130"/>
      <w:bookmarkEnd w:id="16"/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ПОУРОЧНОЕ ПЛАНИРОВАНИЕ 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10 КЛАСС </w:t>
      </w:r>
    </w:p>
    <w:tbl>
      <w:tblPr>
        <w:tblW w:w="13594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1544"/>
        <w:gridCol w:w="9130"/>
        <w:gridCol w:w="2920"/>
      </w:tblGrid>
      <w:tr>
        <w:trPr>
          <w:trHeight w:val="144" w:hRule="atLeast"/>
        </w:trPr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9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144" w:hRule="atLeast"/>
        </w:trPr>
        <w:tc>
          <w:tcPr>
            <w:tcW w:w="154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91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операции над множествами и их свойства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Диаграммы Эйлера-Венна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действительного числа и его свойства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 от одной переменной. Деление многочлена на многочлен с остатком. Теорема Безу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 с целыми коэффициентами. Теорема Виета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"Рациональные уравнения и неравенства. Системы линейных уравнений"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Функция, способы задания функции. Взаимно обратные функции. Композиция функций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функции. Элементарные преобразования графиков функций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Чётные и нечётные функции. Периодические функции. Промежутки монотонности функции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Линейная, квадратичная и дробно-линейная функции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показателем. Бином Ньютона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показателем. Бином Ньютона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"Степенная функция. Её свойства и график"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"Свойства и график корня n-ой степени. Иррациональные уравнения"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Бесконечно убывающая геометрическая прогрессия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Сумма бесконечно убывающей геометрической прогрессии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"Последовательности и прогрессии"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функции и их свойства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Точка разрыва. Асимптоты графиков функций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и вторая производные функции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Определение, геометрический смысл производной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Определение, физический смысл производной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"Производная"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0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136 </w:t>
            </w:r>
          </w:p>
        </w:tc>
      </w:tr>
    </w:tbl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11 КЛАСС </w:t>
      </w:r>
    </w:p>
    <w:tbl>
      <w:tblPr>
        <w:tblW w:w="13594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1544"/>
        <w:gridCol w:w="9130"/>
        <w:gridCol w:w="2920"/>
      </w:tblGrid>
      <w:tr>
        <w:trPr>
          <w:trHeight w:val="144" w:hRule="atLeast"/>
        </w:trPr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9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144" w:hRule="atLeast"/>
        </w:trPr>
        <w:tc>
          <w:tcPr>
            <w:tcW w:w="154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91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функций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функций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функций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Первообразная, основное свойство первообразных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Интеграл. Геометрический смысл интеграла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интеграла для нахождения площадей плоских фигур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"Первообразная и интеграл"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"Графики тригонометрических функций. Тригонометрические неравенства"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неравенств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логарифмических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"Комплексные числа"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"Теория целых чисел"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уравнения с параметрами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неравенства с параметрами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системы с параметрами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уравнения, неравенства с параметрами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системы с параметрами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уравнения, неравенства с параметрами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системы с параметрами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уравнения, неравенства с параметрами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системы с параметрами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уравнения с параметрами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неравенства с параметрами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системы с параметрами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"Задачи с параметрами"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"Уравнения. Системы уравнений"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0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136 </w:t>
            </w:r>
          </w:p>
        </w:tc>
      </w:tr>
    </w:tbl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  <w:bookmarkStart w:id="17" w:name="block-17959129"/>
      <w:bookmarkStart w:id="18" w:name="block-17959129"/>
      <w:bookmarkEnd w:id="18"/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​‌</w:t>
      </w:r>
      <w:bookmarkStart w:id="19" w:name="76705523-d600-492c-bad3-a6eb7c5a188f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•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Математика: алгебра и начала математического анализа, геометрия. Алгебра и начала математического анализа (в 2 частях), 11 класс/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bookmarkEnd w:id="19"/>
      <w:r>
        <w:rPr>
          <w:sz w:val="28"/>
        </w:rPr>
        <w:br/>
      </w:r>
      <w:bookmarkStart w:id="20" w:name="76705523-d600-492c-bad3-a6eb7c5a188f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Математика. Геометрия, 11 класс/ Мерзляк А.Г., Номировский Д.А., Поляков В.М.;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>‌​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​‌‌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​‌‌​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ectPr>
          <w:type w:val="nextPage"/>
          <w:pgSz w:w="11906" w:h="16383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​‌</w:t>
      </w:r>
      <w:bookmarkStart w:id="21" w:name="c1c519a7-0172-427c-b1b9-8c5ea50a5861"/>
      <w:r>
        <w:rPr>
          <w:rFonts w:ascii="Times New Roman" w:hAnsi="Times New Roman"/>
          <w:b w:val="false"/>
          <w:i w:val="false"/>
          <w:color w:val="000000"/>
          <w:sz w:val="28"/>
        </w:rPr>
        <w:t>сайт Решу егэ</w:t>
      </w:r>
      <w:bookmarkEnd w:id="21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id="22" w:name="block-179591351"/>
      <w:bookmarkStart w:id="23" w:name="block-17959135"/>
      <w:bookmarkEnd w:id="22"/>
      <w:bookmarkEnd w:id="23"/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overrideTableStyleFontSizeAndJustific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0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1">
    <w:name w:val="Интернет-ссылка"/>
    <w:basedOn w:val="DefaultParagraphFont"/>
    <w:uiPriority w:val="99"/>
    <w:unhideWhenUsed/>
    <w:rPr>
      <w:color w:val="0000FF" w:themeColor="hyperlink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19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20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LibreOffice/6.4.5.2$Windows_x86 LibreOffice_project/a726b36747cf2001e06b58ad5db1aa3a9a1872d6</Application>
  <Pages>29</Pages>
  <Words>6331</Words>
  <Characters>46857</Characters>
  <CharactersWithSpaces>52722</CharactersWithSpaces>
  <Paragraphs>1140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